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4A6D2F">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4A6D2F">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77777777" w:rsidR="00F445B1" w:rsidRPr="00975241" w:rsidRDefault="00C8218C" w:rsidP="00207197">
            <w:r>
              <w:rPr>
                <w:rStyle w:val="Firstpagetablebold"/>
              </w:rPr>
              <w:t>14 September</w:t>
            </w:r>
            <w:r w:rsidR="00207197">
              <w:rPr>
                <w:rStyle w:val="Firstpagetablebold"/>
              </w:rPr>
              <w:t xml:space="preserve"> </w:t>
            </w:r>
            <w:r w:rsidR="00340D9D">
              <w:rPr>
                <w:rStyle w:val="Firstpagetablebold"/>
              </w:rPr>
              <w:t>20</w:t>
            </w:r>
            <w:r w:rsidR="00982640">
              <w:rPr>
                <w:rStyle w:val="Firstpagetablebold"/>
              </w:rPr>
              <w:t>22</w:t>
            </w:r>
          </w:p>
        </w:tc>
      </w:tr>
      <w:tr w:rsidR="00CE544A" w:rsidRPr="00975B07" w14:paraId="6D337551" w14:textId="77777777" w:rsidTr="005F7F7E">
        <w:tc>
          <w:tcPr>
            <w:tcW w:w="2438" w:type="dxa"/>
            <w:shd w:val="clear" w:color="auto" w:fill="auto"/>
          </w:tcPr>
          <w:p w14:paraId="4DD62EE0"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77777777" w:rsidR="00F445B1" w:rsidRPr="001356F1" w:rsidRDefault="00EF2280" w:rsidP="004A6D2F">
            <w:pPr>
              <w:rPr>
                <w:rStyle w:val="Firstpagetablebold"/>
              </w:rPr>
            </w:pPr>
            <w:r>
              <w:rPr>
                <w:rStyle w:val="Firstpagetablebold"/>
              </w:rPr>
              <w:t>Scrutiny Committee</w:t>
            </w:r>
          </w:p>
        </w:tc>
      </w:tr>
      <w:tr w:rsidR="00CE544A" w:rsidRPr="00975B07" w14:paraId="09BAEF9F" w14:textId="77777777" w:rsidTr="005F7F7E">
        <w:tc>
          <w:tcPr>
            <w:tcW w:w="2438" w:type="dxa"/>
            <w:shd w:val="clear" w:color="auto" w:fill="auto"/>
          </w:tcPr>
          <w:p w14:paraId="6A28856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F91DC3D" w14:textId="77777777" w:rsidR="00F445B1" w:rsidRPr="00664FDE" w:rsidRDefault="00C8218C" w:rsidP="004A7698">
            <w:pPr>
              <w:autoSpaceDE w:val="0"/>
              <w:autoSpaceDN w:val="0"/>
              <w:adjustRightInd w:val="0"/>
              <w:spacing w:after="0"/>
              <w:rPr>
                <w:rStyle w:val="Firstpagetablebold"/>
              </w:rPr>
            </w:pPr>
            <w:r>
              <w:rPr>
                <w:b/>
              </w:rPr>
              <w:t>Oxford Local Plan 2040 Preferred Options Regulation 18 Consultation Document</w:t>
            </w:r>
          </w:p>
        </w:tc>
      </w:tr>
    </w:tbl>
    <w:p w14:paraId="638769F8"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745BF0">
            <w:pPr>
              <w:jc w:val="cente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77777777" w:rsidR="00F725BF" w:rsidRPr="00694F86" w:rsidRDefault="00EF2280" w:rsidP="00207197">
            <w:pPr>
              <w:rPr>
                <w:rFonts w:cs="Arial"/>
              </w:rPr>
            </w:pPr>
            <w:r w:rsidRPr="00694F86">
              <w:rPr>
                <w:rFonts w:cs="Arial"/>
              </w:rPr>
              <w:t xml:space="preserve">To </w:t>
            </w:r>
            <w:r w:rsidRPr="00694F86">
              <w:rPr>
                <w:rFonts w:cs="Arial"/>
                <w:color w:val="auto"/>
              </w:rPr>
              <w:t xml:space="preserve">present </w:t>
            </w:r>
            <w:r w:rsidR="00207197" w:rsidRPr="00694F86">
              <w:rPr>
                <w:rFonts w:cs="Arial"/>
                <w:color w:val="auto"/>
              </w:rPr>
              <w:t>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pPr>
              <w:rPr>
                <w:rStyle w:val="Firstpagetablebold"/>
                <w:rFonts w:cs="Arial"/>
              </w:rPr>
            </w:pPr>
            <w:r w:rsidRPr="00694F86">
              <w:rPr>
                <w:rStyle w:val="Firstpagetablebold"/>
                <w:rFonts w:cs="Arial"/>
              </w:rPr>
              <w:t>Key decision:</w:t>
            </w:r>
          </w:p>
          <w:p w14:paraId="2D85AB27" w14:textId="77777777" w:rsidR="001D14DE" w:rsidRPr="00694F86" w:rsidRDefault="001D14DE">
            <w:pPr>
              <w:rPr>
                <w:rStyle w:val="Firstpagetablebold"/>
                <w:rFonts w:cs="Arial"/>
              </w:rPr>
            </w:pPr>
            <w:r w:rsidRPr="00694F86">
              <w:rPr>
                <w:rStyle w:val="Firstpagetablebold"/>
                <w:rFonts w:cs="Arial"/>
              </w:rPr>
              <w:t>Scrutiny Lead Member:</w:t>
            </w:r>
          </w:p>
        </w:tc>
        <w:tc>
          <w:tcPr>
            <w:tcW w:w="6407" w:type="dxa"/>
            <w:tcBorders>
              <w:top w:val="nil"/>
              <w:left w:val="nil"/>
              <w:bottom w:val="nil"/>
              <w:right w:val="single" w:sz="8" w:space="0" w:color="000000"/>
            </w:tcBorders>
            <w:hideMark/>
          </w:tcPr>
          <w:p w14:paraId="7C03CE88" w14:textId="77777777" w:rsidR="00D5547E" w:rsidRPr="00694F86" w:rsidRDefault="00207197" w:rsidP="005F7F7E">
            <w:pPr>
              <w:rPr>
                <w:rFonts w:cs="Arial"/>
              </w:rPr>
            </w:pPr>
            <w:r w:rsidRPr="00694F86">
              <w:rPr>
                <w:rFonts w:cs="Arial"/>
              </w:rPr>
              <w:t>No</w:t>
            </w:r>
          </w:p>
          <w:p w14:paraId="39172FAB" w14:textId="1B4D066C" w:rsidR="001D14DE" w:rsidRPr="00694F86" w:rsidRDefault="001D14DE" w:rsidP="000167B9">
            <w:pPr>
              <w:rPr>
                <w:rFonts w:cs="Arial"/>
              </w:rPr>
            </w:pPr>
            <w:r w:rsidRPr="00694F86">
              <w:rPr>
                <w:rFonts w:cs="Arial"/>
              </w:rPr>
              <w:t xml:space="preserve">Councillor </w:t>
            </w:r>
            <w:r w:rsidR="000167B9">
              <w:rPr>
                <w:rFonts w:cs="Arial"/>
              </w:rPr>
              <w:t>Lizzy Diggins</w:t>
            </w:r>
            <w:r w:rsidR="00207197" w:rsidRPr="00694F86">
              <w:rPr>
                <w:rFonts w:cs="Arial"/>
              </w:rPr>
              <w:t>, Scrutiny Committee</w:t>
            </w:r>
            <w:r w:rsidR="00347767" w:rsidRPr="00694F86">
              <w:rPr>
                <w:rFonts w:cs="Arial"/>
              </w:rPr>
              <w:t xml:space="preserve"> </w:t>
            </w:r>
            <w:r w:rsidR="000167B9">
              <w:rPr>
                <w:rFonts w:cs="Arial"/>
              </w:rPr>
              <w:t>Vice-</w:t>
            </w:r>
            <w:r w:rsidR="00207197" w:rsidRPr="00694F86">
              <w:rPr>
                <w:rFonts w:cs="Arial"/>
              </w:rPr>
              <w:t>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4D54660B" w14:textId="77777777" w:rsidR="00D5547E" w:rsidRPr="00694F86" w:rsidRDefault="0053043E" w:rsidP="00C8218C">
            <w:pPr>
              <w:spacing w:after="0"/>
              <w:rPr>
                <w:rFonts w:cs="Arial"/>
                <w:color w:val="auto"/>
              </w:rPr>
            </w:pPr>
            <w:r>
              <w:rPr>
                <w:rFonts w:cs="Arial"/>
                <w:color w:val="auto"/>
              </w:rPr>
              <w:t xml:space="preserve">Councillor </w:t>
            </w:r>
            <w:r w:rsidR="00C8218C">
              <w:rPr>
                <w:rFonts w:cs="Arial"/>
                <w:color w:val="auto"/>
              </w:rPr>
              <w:t>Alex Hollingsworth</w:t>
            </w:r>
            <w:r w:rsidR="000167B9">
              <w:rPr>
                <w:rFonts w:cs="Arial"/>
                <w:color w:val="auto"/>
              </w:rPr>
              <w:t>, Cabinet Member for Planning and Housing Delivery</w:t>
            </w:r>
          </w:p>
        </w:tc>
      </w:tr>
      <w:tr w:rsidR="0080749A" w14:paraId="5A64E3E3" w14:textId="77777777" w:rsidTr="0080749A">
        <w:tc>
          <w:tcPr>
            <w:tcW w:w="2438" w:type="dxa"/>
            <w:tcBorders>
              <w:top w:val="nil"/>
              <w:left w:val="single" w:sz="8" w:space="0" w:color="000000"/>
              <w:bottom w:val="nil"/>
              <w:right w:val="nil"/>
            </w:tcBorders>
          </w:tcPr>
          <w:p w14:paraId="390223B7" w14:textId="77777777" w:rsidR="0080749A" w:rsidRPr="00694F86" w:rsidRDefault="0080749A">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77777777" w:rsidR="00347767" w:rsidRPr="00694F86" w:rsidRDefault="00DF6CA7" w:rsidP="007C6B5C">
            <w:pPr>
              <w:autoSpaceDE w:val="0"/>
              <w:autoSpaceDN w:val="0"/>
              <w:adjustRightInd w:val="0"/>
              <w:spacing w:after="0"/>
              <w:rPr>
                <w:rFonts w:cs="Arial"/>
                <w:color w:val="auto"/>
              </w:rPr>
            </w:pPr>
            <w:r>
              <w:rPr>
                <w:rFonts w:cs="Arial"/>
                <w:color w:val="auto"/>
              </w:rPr>
              <w:t>All</w:t>
            </w:r>
          </w:p>
          <w:p w14:paraId="63980782" w14:textId="77777777" w:rsidR="00347767" w:rsidRPr="00694F86" w:rsidRDefault="00347767" w:rsidP="00207197">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8F3A4D">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207197">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431D1A"/>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9393C">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26036A">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26036A">
            <w:r w:rsidRPr="00C9393C">
              <w:t>Draft Cabinet response to recommendations of the Scrutiny Committee</w:t>
            </w:r>
          </w:p>
        </w:tc>
      </w:tr>
    </w:tbl>
    <w:p w14:paraId="6DDB9406" w14:textId="77777777" w:rsidR="00C9393C" w:rsidRPr="00431D1A" w:rsidRDefault="00C9393C" w:rsidP="00431D1A"/>
    <w:p w14:paraId="1BCAAC68" w14:textId="77777777" w:rsidR="0040736F" w:rsidRPr="001356F1" w:rsidRDefault="00F66DCA" w:rsidP="007F4787">
      <w:pPr>
        <w:pStyle w:val="Heading1"/>
        <w:spacing w:before="0"/>
        <w:contextualSpacing/>
      </w:pPr>
      <w:r w:rsidRPr="001356F1">
        <w:t xml:space="preserve">Introduction and </w:t>
      </w:r>
      <w:r w:rsidR="000A2D16">
        <w:t>overview</w:t>
      </w:r>
    </w:p>
    <w:p w14:paraId="4944DFEE" w14:textId="26833CD8" w:rsidR="00207197" w:rsidRDefault="00347767" w:rsidP="00DF6CA7">
      <w:pPr>
        <w:pStyle w:val="ListParagraph"/>
        <w:numPr>
          <w:ilvl w:val="0"/>
          <w:numId w:val="6"/>
        </w:numPr>
        <w:spacing w:after="0"/>
        <w:ind w:left="426" w:hanging="426"/>
        <w:jc w:val="both"/>
        <w:rPr>
          <w:rFonts w:ascii="Arial-BoldMT" w:hAnsi="Arial-BoldMT" w:cs="Arial-BoldMT"/>
          <w:bCs/>
          <w:color w:val="auto"/>
        </w:rPr>
      </w:pPr>
      <w:r w:rsidRPr="00207197">
        <w:t xml:space="preserve">The </w:t>
      </w:r>
      <w:r w:rsidR="00207197" w:rsidRPr="00207197">
        <w:t xml:space="preserve">Scrutiny Committee met on </w:t>
      </w:r>
      <w:r w:rsidR="00D66704">
        <w:t>06 September</w:t>
      </w:r>
      <w:r w:rsidR="00151D7B">
        <w:t xml:space="preserve"> 2022</w:t>
      </w:r>
      <w:r w:rsidR="00207197" w:rsidRPr="00207197">
        <w:t xml:space="preserve"> to c</w:t>
      </w:r>
      <w:r w:rsidR="00151D7B">
        <w:t xml:space="preserve">onsider a report </w:t>
      </w:r>
      <w:r w:rsidR="00D66704">
        <w:t>on the Oxford Local Plan 2040 Preferred Options Regulation 18 Consultation Document</w:t>
      </w:r>
      <w:r w:rsidR="00151D7B">
        <w:t>.</w:t>
      </w:r>
      <w:r w:rsidR="00207197">
        <w:t xml:space="preserve"> The report, which is due for Cabinet consideration on </w:t>
      </w:r>
      <w:r w:rsidR="00D66704">
        <w:t>14</w:t>
      </w:r>
      <w:r w:rsidR="00DF6CA7">
        <w:t xml:space="preserve"> </w:t>
      </w:r>
      <w:r w:rsidR="00D66704">
        <w:t>September</w:t>
      </w:r>
      <w:r w:rsidR="00151D7B">
        <w:t xml:space="preserve"> 2022</w:t>
      </w:r>
      <w:r w:rsidR="00207197">
        <w:t>, recommends that</w:t>
      </w:r>
      <w:r w:rsidR="00207197" w:rsidRPr="00207197">
        <w:t xml:space="preserve"> </w:t>
      </w:r>
      <w:r w:rsidR="00151D7B">
        <w:t xml:space="preserve">Cabinet </w:t>
      </w:r>
      <w:r w:rsidR="00DF6CA7">
        <w:t xml:space="preserve">approves </w:t>
      </w:r>
      <w:r w:rsidR="00D66704">
        <w:t>the Oxford Local Plan 2040 Preferred Options document for public consultation</w:t>
      </w:r>
      <w:r w:rsidR="00F2356F">
        <w:t xml:space="preserve">; </w:t>
      </w:r>
      <w:r w:rsidR="000167B9">
        <w:t xml:space="preserve">and </w:t>
      </w:r>
      <w:r w:rsidR="00F2356F">
        <w:t xml:space="preserve">authorises the Planning Policy and Place Manager, </w:t>
      </w:r>
      <w:r w:rsidR="000167B9">
        <w:t xml:space="preserve">in </w:t>
      </w:r>
      <w:r w:rsidR="00F2356F">
        <w:t>consultation with the Cabinet Member for Planning and Housing Delivery</w:t>
      </w:r>
      <w:r w:rsidR="000167B9">
        <w:t>,</w:t>
      </w:r>
      <w:r w:rsidR="00F2356F">
        <w:t xml:space="preserve"> to make any necessary editorial corrections to the documents and the supporting evidence base prior to going out to consultation.</w:t>
      </w:r>
    </w:p>
    <w:p w14:paraId="724F989B" w14:textId="77777777" w:rsidR="00DF6CA7" w:rsidRDefault="00DF6CA7" w:rsidP="00DF6CA7">
      <w:pPr>
        <w:pStyle w:val="ListParagraph"/>
        <w:numPr>
          <w:ilvl w:val="0"/>
          <w:numId w:val="0"/>
        </w:numPr>
        <w:spacing w:after="0"/>
        <w:ind w:left="426"/>
        <w:jc w:val="both"/>
        <w:rPr>
          <w:rFonts w:ascii="Arial-BoldMT" w:hAnsi="Arial-BoldMT" w:cs="Arial-BoldMT"/>
          <w:bCs/>
          <w:color w:val="auto"/>
        </w:rPr>
      </w:pPr>
    </w:p>
    <w:p w14:paraId="729E68C4" w14:textId="77777777" w:rsidR="00DF6CA7" w:rsidRDefault="00DF6CA7" w:rsidP="00DF6CA7">
      <w:pPr>
        <w:pStyle w:val="ListParagraph"/>
        <w:numPr>
          <w:ilvl w:val="0"/>
          <w:numId w:val="0"/>
        </w:numPr>
        <w:spacing w:after="0"/>
        <w:ind w:left="426"/>
        <w:jc w:val="both"/>
        <w:rPr>
          <w:rFonts w:ascii="Arial-BoldMT" w:hAnsi="Arial-BoldMT" w:cs="Arial-BoldMT"/>
          <w:bCs/>
          <w:color w:val="auto"/>
        </w:rPr>
      </w:pPr>
    </w:p>
    <w:p w14:paraId="16AF8F0B" w14:textId="77777777" w:rsidR="00855817" w:rsidRDefault="00855817" w:rsidP="00DF6CA7">
      <w:pPr>
        <w:pStyle w:val="ListParagraph"/>
        <w:numPr>
          <w:ilvl w:val="0"/>
          <w:numId w:val="0"/>
        </w:numPr>
        <w:spacing w:after="0"/>
        <w:ind w:left="426"/>
        <w:jc w:val="both"/>
        <w:rPr>
          <w:rFonts w:ascii="Arial-BoldMT" w:hAnsi="Arial-BoldMT" w:cs="Arial-BoldMT"/>
          <w:bCs/>
          <w:color w:val="auto"/>
        </w:rPr>
      </w:pPr>
    </w:p>
    <w:p w14:paraId="680F4C2C" w14:textId="77777777" w:rsidR="00855817" w:rsidRPr="00DF6CA7" w:rsidRDefault="00855817" w:rsidP="00DF6CA7">
      <w:pPr>
        <w:pStyle w:val="ListParagraph"/>
        <w:numPr>
          <w:ilvl w:val="0"/>
          <w:numId w:val="0"/>
        </w:numPr>
        <w:spacing w:after="0"/>
        <w:ind w:left="426"/>
        <w:jc w:val="both"/>
        <w:rPr>
          <w:rFonts w:ascii="Arial-BoldMT" w:hAnsi="Arial-BoldMT" w:cs="Arial-BoldMT"/>
          <w:bCs/>
          <w:color w:val="auto"/>
        </w:rPr>
      </w:pPr>
    </w:p>
    <w:p w14:paraId="42262E26" w14:textId="77777777" w:rsidR="00431D1A" w:rsidRDefault="00665CCE" w:rsidP="00431D1A">
      <w:pPr>
        <w:pStyle w:val="Heading1"/>
        <w:spacing w:after="0"/>
        <w:rPr>
          <w:color w:val="auto"/>
        </w:rPr>
      </w:pPr>
      <w:r>
        <w:rPr>
          <w:color w:val="auto"/>
        </w:rPr>
        <w:lastRenderedPageBreak/>
        <w:t>Summary and recommendation</w:t>
      </w:r>
      <w:r w:rsidR="008D7B7C">
        <w:rPr>
          <w:color w:val="auto"/>
        </w:rPr>
        <w:t>s</w:t>
      </w:r>
    </w:p>
    <w:p w14:paraId="4DC546E3" w14:textId="77777777" w:rsidR="00DB0CC8" w:rsidRPr="00DB0CC8" w:rsidRDefault="00DB0CC8" w:rsidP="00DB0CC8">
      <w:pPr>
        <w:spacing w:after="0"/>
        <w:ind w:left="1146"/>
        <w:rPr>
          <w:rFonts w:ascii="Arial-BoldMT" w:hAnsi="Arial-BoldMT" w:cs="Arial-BoldMT"/>
          <w:bCs/>
          <w:color w:val="auto"/>
        </w:rPr>
      </w:pPr>
    </w:p>
    <w:p w14:paraId="243D5F90" w14:textId="13C1E3DE" w:rsidR="00091019" w:rsidRDefault="00DB0CC8" w:rsidP="006C5345">
      <w:pPr>
        <w:pStyle w:val="ListParagraph"/>
        <w:numPr>
          <w:ilvl w:val="0"/>
          <w:numId w:val="6"/>
        </w:numPr>
        <w:spacing w:after="0"/>
        <w:jc w:val="both"/>
      </w:pPr>
      <w:r w:rsidRPr="00091019">
        <w:rPr>
          <w:rFonts w:ascii="Arial-BoldMT" w:hAnsi="Arial-BoldMT" w:cs="Arial-BoldMT"/>
          <w:bCs/>
          <w:color w:val="auto"/>
        </w:rPr>
        <w:t xml:space="preserve">Councillor </w:t>
      </w:r>
      <w:r w:rsidR="00F2356F" w:rsidRPr="00091019">
        <w:rPr>
          <w:rFonts w:ascii="Arial-BoldMT" w:hAnsi="Arial-BoldMT" w:cs="Arial-BoldMT"/>
          <w:bCs/>
          <w:color w:val="auto"/>
        </w:rPr>
        <w:t>Alex Hollingsworth</w:t>
      </w:r>
      <w:r>
        <w:t xml:space="preserve">, </w:t>
      </w:r>
      <w:r w:rsidR="00F2356F">
        <w:t xml:space="preserve">Cabinet Member for </w:t>
      </w:r>
      <w:r w:rsidR="00556176">
        <w:t>Planning and Housing Delivery</w:t>
      </w:r>
      <w:r w:rsidR="00F2356F">
        <w:t>,</w:t>
      </w:r>
      <w:r w:rsidR="00556176">
        <w:t xml:space="preserve"> </w:t>
      </w:r>
      <w:r w:rsidR="00CD281A">
        <w:t xml:space="preserve">introduced the report. </w:t>
      </w:r>
      <w:r w:rsidR="00091019">
        <w:t xml:space="preserve"> </w:t>
      </w:r>
      <w:r w:rsidR="00556176">
        <w:t xml:space="preserve">He </w:t>
      </w:r>
      <w:r w:rsidR="00091019">
        <w:t>reminded</w:t>
      </w:r>
      <w:r w:rsidR="00556176">
        <w:t xml:space="preserve"> the </w:t>
      </w:r>
      <w:r w:rsidR="00091019">
        <w:t>Committee</w:t>
      </w:r>
      <w:r w:rsidR="00556176">
        <w:t xml:space="preserve"> that a Local Plan </w:t>
      </w:r>
      <w:r w:rsidR="000167B9">
        <w:t xml:space="preserve">was </w:t>
      </w:r>
      <w:r w:rsidR="00556176">
        <w:t xml:space="preserve">not intended to be an overarching plan for the Council but </w:t>
      </w:r>
      <w:r w:rsidR="00091019">
        <w:t>a specific example of strategic level planning.</w:t>
      </w:r>
    </w:p>
    <w:p w14:paraId="6187DCC5" w14:textId="77777777" w:rsidR="000167B9" w:rsidRDefault="000167B9" w:rsidP="000167B9">
      <w:pPr>
        <w:pStyle w:val="ListParagraph"/>
        <w:numPr>
          <w:ilvl w:val="0"/>
          <w:numId w:val="0"/>
        </w:numPr>
        <w:spacing w:after="0"/>
        <w:ind w:left="360"/>
        <w:jc w:val="both"/>
      </w:pPr>
    </w:p>
    <w:p w14:paraId="342D5A04" w14:textId="5B21F227" w:rsidR="00091019" w:rsidRPr="000167B9" w:rsidRDefault="00091019" w:rsidP="00052F13">
      <w:pPr>
        <w:pStyle w:val="ListParagraph"/>
        <w:numPr>
          <w:ilvl w:val="0"/>
          <w:numId w:val="6"/>
        </w:numPr>
        <w:spacing w:after="0"/>
        <w:jc w:val="both"/>
        <w:rPr>
          <w:b/>
        </w:rPr>
      </w:pPr>
      <w:r w:rsidRPr="00091019">
        <w:rPr>
          <w:rFonts w:ascii="Arial-BoldMT" w:hAnsi="Arial-BoldMT" w:cs="Arial-BoldMT"/>
          <w:bCs/>
          <w:color w:val="auto"/>
        </w:rPr>
        <w:t xml:space="preserve">Rachel Williams, Planning </w:t>
      </w:r>
      <w:r w:rsidR="00855817">
        <w:rPr>
          <w:rFonts w:ascii="Arial-BoldMT" w:hAnsi="Arial-BoldMT" w:cs="Arial-BoldMT"/>
          <w:bCs/>
          <w:color w:val="auto"/>
        </w:rPr>
        <w:t>Policy and</w:t>
      </w:r>
      <w:r w:rsidRPr="00091019">
        <w:rPr>
          <w:rFonts w:ascii="Arial-BoldMT" w:hAnsi="Arial-BoldMT" w:cs="Arial-BoldMT"/>
          <w:bCs/>
          <w:color w:val="auto"/>
        </w:rPr>
        <w:t xml:space="preserve"> Place Manager, and Amanda </w:t>
      </w:r>
      <w:r w:rsidR="000167B9">
        <w:rPr>
          <w:rFonts w:ascii="Arial-BoldMT" w:hAnsi="Arial-BoldMT" w:cs="Arial-BoldMT"/>
          <w:bCs/>
          <w:color w:val="auto"/>
        </w:rPr>
        <w:t>Ford</w:t>
      </w:r>
      <w:r w:rsidRPr="00091019">
        <w:rPr>
          <w:rFonts w:ascii="Arial-BoldMT" w:hAnsi="Arial-BoldMT" w:cs="Arial-BoldMT"/>
          <w:bCs/>
          <w:color w:val="auto"/>
        </w:rPr>
        <w:t xml:space="preserve">, Team Leader – Planning Policy, summarised the extent to which the team </w:t>
      </w:r>
      <w:r w:rsidR="000167B9">
        <w:rPr>
          <w:rFonts w:ascii="Arial-BoldMT" w:hAnsi="Arial-BoldMT" w:cs="Arial-BoldMT"/>
          <w:bCs/>
          <w:color w:val="auto"/>
        </w:rPr>
        <w:t>was</w:t>
      </w:r>
      <w:r w:rsidR="000167B9" w:rsidRPr="00091019">
        <w:rPr>
          <w:rFonts w:ascii="Arial-BoldMT" w:hAnsi="Arial-BoldMT" w:cs="Arial-BoldMT"/>
          <w:bCs/>
          <w:color w:val="auto"/>
        </w:rPr>
        <w:t xml:space="preserve"> </w:t>
      </w:r>
      <w:r w:rsidRPr="00091019">
        <w:rPr>
          <w:rFonts w:ascii="Arial-BoldMT" w:hAnsi="Arial-BoldMT" w:cs="Arial-BoldMT"/>
          <w:bCs/>
          <w:color w:val="auto"/>
        </w:rPr>
        <w:t>exploring ways to consult and reported that around 4</w:t>
      </w:r>
      <w:r w:rsidR="00855817">
        <w:rPr>
          <w:rFonts w:ascii="Arial-BoldMT" w:hAnsi="Arial-BoldMT" w:cs="Arial-BoldMT"/>
          <w:bCs/>
          <w:color w:val="auto"/>
        </w:rPr>
        <w:t>,</w:t>
      </w:r>
      <w:r w:rsidRPr="00091019">
        <w:rPr>
          <w:rFonts w:ascii="Arial-BoldMT" w:hAnsi="Arial-BoldMT" w:cs="Arial-BoldMT"/>
          <w:bCs/>
          <w:color w:val="auto"/>
        </w:rPr>
        <w:t xml:space="preserve">000 responses were received to the </w:t>
      </w:r>
      <w:r w:rsidR="000167B9">
        <w:rPr>
          <w:rFonts w:ascii="Arial-BoldMT" w:hAnsi="Arial-BoldMT" w:cs="Arial-BoldMT"/>
          <w:bCs/>
          <w:color w:val="auto"/>
        </w:rPr>
        <w:t xml:space="preserve">previous </w:t>
      </w:r>
      <w:r w:rsidRPr="00091019">
        <w:rPr>
          <w:rFonts w:ascii="Arial-BoldMT" w:hAnsi="Arial-BoldMT" w:cs="Arial-BoldMT"/>
          <w:bCs/>
          <w:color w:val="auto"/>
        </w:rPr>
        <w:t xml:space="preserve">consultation on the Local Plan 2036.  They explained that they hoped that even greater engagement would be </w:t>
      </w:r>
      <w:r w:rsidR="000167B9">
        <w:rPr>
          <w:rFonts w:ascii="Arial-BoldMT" w:hAnsi="Arial-BoldMT" w:cs="Arial-BoldMT"/>
          <w:bCs/>
          <w:color w:val="auto"/>
        </w:rPr>
        <w:t>achieved in relation</w:t>
      </w:r>
      <w:r w:rsidR="000167B9" w:rsidRPr="00091019">
        <w:rPr>
          <w:rFonts w:ascii="Arial-BoldMT" w:hAnsi="Arial-BoldMT" w:cs="Arial-BoldMT"/>
          <w:bCs/>
          <w:color w:val="auto"/>
        </w:rPr>
        <w:t xml:space="preserve"> </w:t>
      </w:r>
      <w:r w:rsidRPr="00091019">
        <w:rPr>
          <w:rFonts w:ascii="Arial-BoldMT" w:hAnsi="Arial-BoldMT" w:cs="Arial-BoldMT"/>
          <w:bCs/>
          <w:color w:val="auto"/>
        </w:rPr>
        <w:t>to this consultation.</w:t>
      </w:r>
    </w:p>
    <w:p w14:paraId="4AE32D3C" w14:textId="77777777" w:rsidR="000167B9" w:rsidRPr="000167B9" w:rsidRDefault="000167B9" w:rsidP="000167B9">
      <w:pPr>
        <w:pStyle w:val="ListParagraph"/>
        <w:numPr>
          <w:ilvl w:val="0"/>
          <w:numId w:val="0"/>
        </w:numPr>
        <w:ind w:left="360"/>
        <w:rPr>
          <w:b/>
        </w:rPr>
      </w:pPr>
    </w:p>
    <w:p w14:paraId="084B3237" w14:textId="2D993287" w:rsidR="00091019" w:rsidRPr="00091019" w:rsidRDefault="00091019" w:rsidP="00052F13">
      <w:pPr>
        <w:pStyle w:val="ListParagraph"/>
        <w:numPr>
          <w:ilvl w:val="0"/>
          <w:numId w:val="6"/>
        </w:numPr>
        <w:spacing w:after="0"/>
        <w:jc w:val="both"/>
        <w:rPr>
          <w:b/>
        </w:rPr>
      </w:pPr>
      <w:r>
        <w:t>The Committee recognised the intention to consult widely in different formats as detailed in the Consultation and Engagement Plan at Appendix 2. However, the Committee was conscious that such a large document would be, to most people, difficult to navigate.  Whilst a contents page of policy option sets exist</w:t>
      </w:r>
      <w:r w:rsidR="000167B9">
        <w:t>ed</w:t>
      </w:r>
      <w:r>
        <w:t>, the Committee suggested that consideration should be given to a key to the document and, where it exist</w:t>
      </w:r>
      <w:r w:rsidR="000167B9">
        <w:t>ed</w:t>
      </w:r>
      <w:r>
        <w:t xml:space="preserve"> digitally, this should ensure ease of navigation.</w:t>
      </w:r>
    </w:p>
    <w:p w14:paraId="47D20C2C" w14:textId="77777777" w:rsidR="00091019" w:rsidRDefault="00091019" w:rsidP="00091019">
      <w:pPr>
        <w:rPr>
          <w:b/>
        </w:rPr>
      </w:pPr>
    </w:p>
    <w:p w14:paraId="6029C38E" w14:textId="77777777" w:rsidR="00091019" w:rsidRPr="00091019" w:rsidRDefault="00091019" w:rsidP="00B40248">
      <w:pPr>
        <w:ind w:left="360"/>
        <w:jc w:val="both"/>
        <w:rPr>
          <w:b/>
          <w:i/>
        </w:rPr>
      </w:pPr>
      <w:r w:rsidRPr="00091019">
        <w:rPr>
          <w:b/>
          <w:i/>
        </w:rPr>
        <w:t>Recommendation 1: That the Council inserts a key to the document to ensure that navigation and integration are more accessible.</w:t>
      </w:r>
    </w:p>
    <w:p w14:paraId="3D401B0B" w14:textId="77777777" w:rsidR="00091019" w:rsidRDefault="00091019" w:rsidP="00B40248">
      <w:pPr>
        <w:jc w:val="both"/>
        <w:rPr>
          <w:b/>
        </w:rPr>
      </w:pPr>
    </w:p>
    <w:p w14:paraId="5F5A4385" w14:textId="1D8578EC" w:rsidR="00091019" w:rsidRPr="002C4BBD" w:rsidRDefault="00091019" w:rsidP="00B40248">
      <w:pPr>
        <w:pStyle w:val="ListParagraph"/>
        <w:numPr>
          <w:ilvl w:val="0"/>
          <w:numId w:val="6"/>
        </w:numPr>
        <w:jc w:val="both"/>
      </w:pPr>
      <w:r>
        <w:t xml:space="preserve">The Committee noted the intention to make the consultation accessible to all of Oxford’s residents and suggested that particular consideration should be given to </w:t>
      </w:r>
      <w:r w:rsidR="000167B9">
        <w:t>ensuring those for whom English was a second or other language</w:t>
      </w:r>
      <w:r w:rsidR="001A7C4C">
        <w:t xml:space="preserve"> could engage with the process. </w:t>
      </w:r>
    </w:p>
    <w:p w14:paraId="24DD2CF2" w14:textId="77777777" w:rsidR="00091019" w:rsidRDefault="00091019" w:rsidP="00B40248">
      <w:pPr>
        <w:jc w:val="both"/>
        <w:rPr>
          <w:b/>
        </w:rPr>
      </w:pPr>
    </w:p>
    <w:p w14:paraId="5411FB68" w14:textId="77777777" w:rsidR="00091019" w:rsidRPr="00091019" w:rsidRDefault="00091019" w:rsidP="00B40248">
      <w:pPr>
        <w:ind w:left="360"/>
        <w:jc w:val="both"/>
        <w:rPr>
          <w:b/>
          <w:i/>
        </w:rPr>
      </w:pPr>
      <w:r w:rsidRPr="00091019">
        <w:rPr>
          <w:b/>
          <w:i/>
        </w:rPr>
        <w:t>Recommendation 2: That the Council gives consideration to how to engage most effectively with residents for whom English is a second or other language during the consultation process, including the provision of drop-in sessions.</w:t>
      </w:r>
    </w:p>
    <w:p w14:paraId="50E6A729" w14:textId="77777777" w:rsidR="00080857" w:rsidRPr="00080857" w:rsidRDefault="00080857" w:rsidP="008D3951">
      <w:pPr>
        <w:pStyle w:val="ListParagraph"/>
        <w:numPr>
          <w:ilvl w:val="0"/>
          <w:numId w:val="0"/>
        </w:numPr>
        <w:spacing w:after="0"/>
        <w:ind w:left="360"/>
        <w:jc w:val="both"/>
        <w:rPr>
          <w:color w:val="auto"/>
        </w:rPr>
      </w:pPr>
    </w:p>
    <w:p w14:paraId="3BA7BCB1" w14:textId="77777777" w:rsidR="00091019" w:rsidRPr="003E5094" w:rsidRDefault="00091019" w:rsidP="00B40248">
      <w:pPr>
        <w:pStyle w:val="ListParagraph"/>
        <w:numPr>
          <w:ilvl w:val="0"/>
          <w:numId w:val="6"/>
        </w:numPr>
        <w:jc w:val="both"/>
      </w:pPr>
      <w:r>
        <w:t>The Committee noted the intention to engage residents using social media, events, and various print and online publications.  In order to increase accessibility and to encourage engagement, the Committee suggested that consideration should be given to producing audio summaries in the form of basic podcasts.</w:t>
      </w:r>
    </w:p>
    <w:p w14:paraId="2CFEA240" w14:textId="77777777" w:rsidR="00091019" w:rsidRDefault="00091019" w:rsidP="00B40248">
      <w:pPr>
        <w:jc w:val="both"/>
        <w:rPr>
          <w:b/>
        </w:rPr>
      </w:pPr>
    </w:p>
    <w:p w14:paraId="3FA343D2" w14:textId="77777777" w:rsidR="00091019" w:rsidRPr="00091019" w:rsidRDefault="00091019" w:rsidP="00B40248">
      <w:pPr>
        <w:ind w:left="360"/>
        <w:jc w:val="both"/>
        <w:rPr>
          <w:b/>
          <w:i/>
        </w:rPr>
      </w:pPr>
      <w:r w:rsidRPr="00091019">
        <w:rPr>
          <w:b/>
          <w:i/>
        </w:rPr>
        <w:t>Recommendation 3: That the Council explores options to produce basic podcasts summarising the document.</w:t>
      </w:r>
    </w:p>
    <w:p w14:paraId="756DAF92" w14:textId="77777777" w:rsidR="00091019" w:rsidRDefault="00091019" w:rsidP="00B40248">
      <w:pPr>
        <w:jc w:val="both"/>
        <w:rPr>
          <w:b/>
        </w:rPr>
      </w:pPr>
    </w:p>
    <w:p w14:paraId="0BF55D8B" w14:textId="35F58D34" w:rsidR="00091019" w:rsidRDefault="00091019" w:rsidP="00B40248">
      <w:pPr>
        <w:pStyle w:val="ListParagraph"/>
        <w:numPr>
          <w:ilvl w:val="0"/>
          <w:numId w:val="6"/>
        </w:numPr>
        <w:jc w:val="both"/>
      </w:pPr>
      <w:r>
        <w:t xml:space="preserve">The Committee recognised that the Local Plan </w:t>
      </w:r>
      <w:r w:rsidR="001A7C4C">
        <w:t xml:space="preserve">would </w:t>
      </w:r>
      <w:r>
        <w:t xml:space="preserve">affect all those who visit or spend time in Oxford and not just those who live in the City.  This </w:t>
      </w:r>
      <w:r w:rsidR="001A7C4C">
        <w:t xml:space="preserve">was </w:t>
      </w:r>
      <w:r>
        <w:t xml:space="preserve">particularly the case for those who work in Oxford but do not live there, whether for reasons of affordability or otherwise.  The Committee suggested that consideration should be given to consulting representative groups of those who work in the City, through trade unions and the royal colleges, so as to ensure their views </w:t>
      </w:r>
      <w:r w:rsidR="001A7C4C">
        <w:t xml:space="preserve">were </w:t>
      </w:r>
      <w:r>
        <w:t>received.</w:t>
      </w:r>
    </w:p>
    <w:p w14:paraId="5F124761" w14:textId="77777777" w:rsidR="00091019" w:rsidRPr="003E5094" w:rsidRDefault="00091019" w:rsidP="00B40248">
      <w:pPr>
        <w:jc w:val="both"/>
      </w:pPr>
    </w:p>
    <w:p w14:paraId="5B4942AE" w14:textId="77777777" w:rsidR="00091019" w:rsidRPr="00091019" w:rsidRDefault="00091019" w:rsidP="00B40248">
      <w:pPr>
        <w:ind w:left="360"/>
        <w:jc w:val="both"/>
        <w:rPr>
          <w:b/>
          <w:i/>
        </w:rPr>
      </w:pPr>
      <w:r w:rsidRPr="00091019">
        <w:rPr>
          <w:b/>
          <w:i/>
        </w:rPr>
        <w:lastRenderedPageBreak/>
        <w:t>Recommendation 4: That the Council seeks to engage specifically with vocational groups (such as trade unions and royal colleges) to ensure that the voice of those who work in Oxford but do not live in the City is heard.</w:t>
      </w:r>
    </w:p>
    <w:p w14:paraId="24900360" w14:textId="77777777" w:rsidR="00091019" w:rsidRDefault="00091019" w:rsidP="00B40248">
      <w:pPr>
        <w:jc w:val="both"/>
        <w:rPr>
          <w:b/>
        </w:rPr>
      </w:pPr>
    </w:p>
    <w:p w14:paraId="43DE3E82" w14:textId="68A3CF1B" w:rsidR="00091019" w:rsidRDefault="00091019" w:rsidP="00B40248">
      <w:pPr>
        <w:pStyle w:val="ListParagraph"/>
        <w:numPr>
          <w:ilvl w:val="0"/>
          <w:numId w:val="6"/>
        </w:numPr>
        <w:jc w:val="both"/>
      </w:pPr>
      <w:r>
        <w:t xml:space="preserve">The Committee recognised that the Local Plan </w:t>
      </w:r>
      <w:r w:rsidR="001A7C4C">
        <w:t xml:space="preserve">would </w:t>
      </w:r>
      <w:r>
        <w:t xml:space="preserve">affect those who live in the City but are either vulnerably housed or sleeping rough.  The Committee suggested that consideration should be given to consulting charities and organisations </w:t>
      </w:r>
      <w:r w:rsidR="001A7C4C">
        <w:t xml:space="preserve">which </w:t>
      </w:r>
      <w:r>
        <w:t xml:space="preserve">support and represent people in </w:t>
      </w:r>
      <w:r w:rsidR="001A7C4C">
        <w:t xml:space="preserve">those </w:t>
      </w:r>
      <w:r>
        <w:t>situation</w:t>
      </w:r>
      <w:r w:rsidR="001A7C4C">
        <w:t>s</w:t>
      </w:r>
      <w:r>
        <w:t xml:space="preserve"> to ensure their views </w:t>
      </w:r>
      <w:r w:rsidR="001A7C4C">
        <w:t xml:space="preserve">were </w:t>
      </w:r>
      <w:r>
        <w:t>received.</w:t>
      </w:r>
    </w:p>
    <w:p w14:paraId="4010E9C0" w14:textId="77777777" w:rsidR="00091019" w:rsidRPr="004925B4" w:rsidRDefault="00091019" w:rsidP="00B40248">
      <w:pPr>
        <w:jc w:val="both"/>
      </w:pPr>
    </w:p>
    <w:p w14:paraId="63E4537F" w14:textId="77777777" w:rsidR="00091019" w:rsidRPr="00091019" w:rsidRDefault="00091019" w:rsidP="00B40248">
      <w:pPr>
        <w:ind w:left="360"/>
        <w:jc w:val="both"/>
        <w:rPr>
          <w:b/>
          <w:i/>
        </w:rPr>
      </w:pPr>
      <w:r w:rsidRPr="00091019">
        <w:rPr>
          <w:b/>
          <w:i/>
        </w:rPr>
        <w:t>Recommendation 5: That the Council seeks to engage specifically with organisations representing those with specific housing needs, such as Crisis and Acorn.</w:t>
      </w:r>
    </w:p>
    <w:p w14:paraId="49642CCB" w14:textId="77777777" w:rsidR="00091019" w:rsidRDefault="00091019" w:rsidP="00B40248">
      <w:pPr>
        <w:jc w:val="both"/>
        <w:rPr>
          <w:b/>
        </w:rPr>
      </w:pPr>
    </w:p>
    <w:p w14:paraId="231732AD" w14:textId="45708C81" w:rsidR="00091019" w:rsidRDefault="00091019" w:rsidP="00B40248">
      <w:pPr>
        <w:pStyle w:val="ListParagraph"/>
        <w:numPr>
          <w:ilvl w:val="0"/>
          <w:numId w:val="6"/>
        </w:numPr>
        <w:jc w:val="both"/>
      </w:pPr>
      <w:r>
        <w:t xml:space="preserve">The Committee noted that reference </w:t>
      </w:r>
      <w:r w:rsidR="001A7C4C">
        <w:t xml:space="preserve">was </w:t>
      </w:r>
      <w:r>
        <w:t xml:space="preserve">made to a key principle being to “ensure good connectivity by foot and cycle and public transport across the area” and suggested that consideration should be given to clarifying what </w:t>
      </w:r>
      <w:r w:rsidR="001A7C4C">
        <w:t xml:space="preserve">was </w:t>
      </w:r>
      <w:r>
        <w:t xml:space="preserve">meant by this.  The Committee noted that there was limited reference to car free spaces and, whilst recognising that these </w:t>
      </w:r>
      <w:r w:rsidR="001A7C4C">
        <w:t xml:space="preserve">were </w:t>
      </w:r>
      <w:r>
        <w:t>implicit given the National Model Design Code principles, suggested consideration should be given to explaining this in the document.</w:t>
      </w:r>
    </w:p>
    <w:p w14:paraId="4BFFE2E6" w14:textId="77777777" w:rsidR="00091019" w:rsidRDefault="00091019" w:rsidP="00B40248">
      <w:pPr>
        <w:jc w:val="both"/>
      </w:pPr>
    </w:p>
    <w:p w14:paraId="32B07968" w14:textId="09CB1007" w:rsidR="008D3951" w:rsidRDefault="00091019" w:rsidP="00B40248">
      <w:pPr>
        <w:ind w:left="360"/>
        <w:jc w:val="both"/>
        <w:rPr>
          <w:b/>
          <w:i/>
        </w:rPr>
      </w:pPr>
      <w:r w:rsidRPr="00091019">
        <w:rPr>
          <w:b/>
          <w:i/>
        </w:rPr>
        <w:t>Recommendation 6: That the Council clarifies the definition of ‘good connectivity’ within the document</w:t>
      </w:r>
      <w:r w:rsidR="008D3951">
        <w:rPr>
          <w:b/>
          <w:i/>
        </w:rPr>
        <w:t>.</w:t>
      </w:r>
    </w:p>
    <w:p w14:paraId="372E5B2E" w14:textId="77777777" w:rsidR="008D3951" w:rsidRDefault="008D3951" w:rsidP="00B40248">
      <w:pPr>
        <w:ind w:left="360"/>
        <w:jc w:val="both"/>
        <w:rPr>
          <w:b/>
          <w:i/>
        </w:rPr>
      </w:pPr>
    </w:p>
    <w:p w14:paraId="086CC9BB" w14:textId="6656BA49" w:rsidR="00091019" w:rsidRPr="00091019" w:rsidRDefault="008D3951" w:rsidP="00B40248">
      <w:pPr>
        <w:ind w:left="360"/>
        <w:jc w:val="both"/>
        <w:rPr>
          <w:b/>
          <w:i/>
        </w:rPr>
      </w:pPr>
      <w:r>
        <w:rPr>
          <w:b/>
          <w:i/>
        </w:rPr>
        <w:t>Recommendation 7: T</w:t>
      </w:r>
      <w:r w:rsidR="00091019" w:rsidRPr="00091019">
        <w:rPr>
          <w:b/>
          <w:i/>
        </w:rPr>
        <w:t xml:space="preserve">hat the Council explains in the document that the National Model Design Code principles </w:t>
      </w:r>
      <w:r w:rsidR="00B94B77">
        <w:rPr>
          <w:b/>
          <w:i/>
        </w:rPr>
        <w:t>are applied when considering the location of car parking in relation to residential and shared amenity spaces</w:t>
      </w:r>
      <w:r w:rsidR="00210C67">
        <w:rPr>
          <w:b/>
          <w:i/>
        </w:rPr>
        <w:t>.</w:t>
      </w:r>
      <w:bookmarkStart w:id="0" w:name="_GoBack"/>
      <w:bookmarkEnd w:id="0"/>
      <w:r w:rsidR="00091019" w:rsidRPr="00091019">
        <w:rPr>
          <w:b/>
          <w:i/>
        </w:rPr>
        <w:t xml:space="preserve"> </w:t>
      </w:r>
    </w:p>
    <w:p w14:paraId="5083D27D" w14:textId="77777777" w:rsidR="00091019" w:rsidRDefault="00091019" w:rsidP="00B40248">
      <w:pPr>
        <w:jc w:val="both"/>
        <w:rPr>
          <w:b/>
        </w:rPr>
      </w:pPr>
    </w:p>
    <w:p w14:paraId="6C2EF128" w14:textId="77777777" w:rsidR="00091019" w:rsidRPr="00D62FAB" w:rsidRDefault="00091019" w:rsidP="00B40248">
      <w:pPr>
        <w:pStyle w:val="ListParagraph"/>
        <w:numPr>
          <w:ilvl w:val="0"/>
          <w:numId w:val="6"/>
        </w:numPr>
        <w:jc w:val="both"/>
      </w:pPr>
      <w:r>
        <w:t xml:space="preserve">The Committee noted that sections 8.6 and 8.7 </w:t>
      </w:r>
      <w:r w:rsidR="008D3951">
        <w:t xml:space="preserve">of the document </w:t>
      </w:r>
      <w:r>
        <w:t xml:space="preserve">set out a distinction between ‘site allocations’ and ‘areas of </w:t>
      </w:r>
      <w:proofErr w:type="gramStart"/>
      <w:r>
        <w:t>focus’</w:t>
      </w:r>
      <w:proofErr w:type="gramEnd"/>
      <w:r>
        <w:t>.  In order to enable greater engagement with the proposals set out in the document, the Committee suggested that consideration be given to explain</w:t>
      </w:r>
      <w:r w:rsidR="008D3951">
        <w:t>ing</w:t>
      </w:r>
      <w:r>
        <w:t xml:space="preserve"> more fully the distinction between the two and the interaction between them.</w:t>
      </w:r>
    </w:p>
    <w:p w14:paraId="5FE66D03" w14:textId="77777777" w:rsidR="00091019" w:rsidRDefault="00091019" w:rsidP="00B40248">
      <w:pPr>
        <w:jc w:val="both"/>
        <w:rPr>
          <w:b/>
        </w:rPr>
      </w:pPr>
    </w:p>
    <w:p w14:paraId="25F0F212" w14:textId="77777777" w:rsidR="00091019" w:rsidRPr="00091019" w:rsidRDefault="00091019" w:rsidP="00B40248">
      <w:pPr>
        <w:ind w:left="360"/>
        <w:jc w:val="both"/>
        <w:rPr>
          <w:b/>
          <w:i/>
        </w:rPr>
      </w:pPr>
      <w:r w:rsidRPr="00091019">
        <w:rPr>
          <w:b/>
          <w:i/>
        </w:rPr>
        <w:t>Recommendation 8: That the Council explains the distinction between ‘areas of focus’ and ‘site allocation policies’ and the interaction between them within the document.</w:t>
      </w:r>
    </w:p>
    <w:p w14:paraId="2783582F" w14:textId="77777777" w:rsidR="00091019" w:rsidRDefault="00091019" w:rsidP="00B40248">
      <w:pPr>
        <w:ind w:left="360"/>
        <w:jc w:val="both"/>
        <w:rPr>
          <w:b/>
        </w:rPr>
      </w:pPr>
    </w:p>
    <w:p w14:paraId="74DACD07" w14:textId="74FC1787" w:rsidR="00091019" w:rsidRDefault="00091019" w:rsidP="00B40248">
      <w:pPr>
        <w:pStyle w:val="ListParagraph"/>
        <w:numPr>
          <w:ilvl w:val="0"/>
          <w:numId w:val="6"/>
        </w:numPr>
        <w:jc w:val="both"/>
      </w:pPr>
      <w:r>
        <w:t xml:space="preserve">The Committee heard the Cabinet Member’s explanation of the challenges of including certain measures and intentions in terms of development principles because they </w:t>
      </w:r>
      <w:r w:rsidR="008D3951">
        <w:t xml:space="preserve">were </w:t>
      </w:r>
      <w:r>
        <w:t>governed</w:t>
      </w:r>
      <w:r w:rsidR="00B40248">
        <w:t xml:space="preserve"> by other processes</w:t>
      </w:r>
      <w:r>
        <w:t xml:space="preserve"> or included in other documents.  Nonetheless, the Committee considered that a number of issues would benefit from explicit reference in the document.  Where that </w:t>
      </w:r>
      <w:r w:rsidR="008D3951">
        <w:t xml:space="preserve">was </w:t>
      </w:r>
      <w:r>
        <w:t xml:space="preserve">either forbidden by legislation, or </w:t>
      </w:r>
      <w:r w:rsidR="008D3951">
        <w:t xml:space="preserve">was </w:t>
      </w:r>
      <w:r>
        <w:t xml:space="preserve">covered by a separate document, the Committee suggested that consideration should be given to explaining that in the introduction to the </w:t>
      </w:r>
      <w:r w:rsidR="008D3951">
        <w:t xml:space="preserve">Local Plan </w:t>
      </w:r>
      <w:r>
        <w:t>document.</w:t>
      </w:r>
    </w:p>
    <w:p w14:paraId="08F86A1A" w14:textId="77777777" w:rsidR="00091019" w:rsidRPr="00D477E8" w:rsidRDefault="00091019" w:rsidP="00B40248">
      <w:pPr>
        <w:jc w:val="both"/>
      </w:pPr>
    </w:p>
    <w:p w14:paraId="3D0B11EE" w14:textId="77777777" w:rsidR="008D3951" w:rsidRDefault="00091019" w:rsidP="00B40248">
      <w:pPr>
        <w:ind w:left="360"/>
        <w:jc w:val="both"/>
        <w:rPr>
          <w:b/>
          <w:i/>
        </w:rPr>
      </w:pPr>
      <w:r w:rsidRPr="00091019">
        <w:rPr>
          <w:b/>
          <w:i/>
        </w:rPr>
        <w:lastRenderedPageBreak/>
        <w:t xml:space="preserve">Recommendation 9: That the Council makes explicit reference to the importance of access to nature in housing developments </w:t>
      </w:r>
      <w:r w:rsidR="008D3951">
        <w:rPr>
          <w:b/>
          <w:i/>
        </w:rPr>
        <w:t>within the document.</w:t>
      </w:r>
    </w:p>
    <w:p w14:paraId="6CBBB0EC" w14:textId="77777777" w:rsidR="008D3951" w:rsidRDefault="008D3951" w:rsidP="00B40248">
      <w:pPr>
        <w:ind w:left="360"/>
        <w:jc w:val="both"/>
        <w:rPr>
          <w:b/>
          <w:i/>
        </w:rPr>
      </w:pPr>
    </w:p>
    <w:p w14:paraId="777F494A" w14:textId="0F065376" w:rsidR="00091019" w:rsidRPr="00091019" w:rsidRDefault="008D3951" w:rsidP="00B40248">
      <w:pPr>
        <w:ind w:left="360"/>
        <w:jc w:val="both"/>
        <w:rPr>
          <w:b/>
          <w:i/>
        </w:rPr>
      </w:pPr>
      <w:r>
        <w:rPr>
          <w:b/>
          <w:i/>
        </w:rPr>
        <w:t>Recommendation 10: T</w:t>
      </w:r>
      <w:r w:rsidR="00091019" w:rsidRPr="00091019">
        <w:rPr>
          <w:b/>
          <w:i/>
        </w:rPr>
        <w:t>hat the Council makes explicit reference to the importance of street trees within the document.</w:t>
      </w:r>
    </w:p>
    <w:p w14:paraId="692B89F3" w14:textId="77777777" w:rsidR="00091019" w:rsidRDefault="00091019" w:rsidP="00B40248">
      <w:pPr>
        <w:jc w:val="both"/>
        <w:rPr>
          <w:b/>
        </w:rPr>
      </w:pPr>
    </w:p>
    <w:p w14:paraId="46582909" w14:textId="00BC9B7B" w:rsidR="00091019" w:rsidRPr="00091019" w:rsidRDefault="00091019" w:rsidP="00B40248">
      <w:pPr>
        <w:ind w:left="360"/>
        <w:jc w:val="both"/>
        <w:rPr>
          <w:b/>
          <w:i/>
        </w:rPr>
      </w:pPr>
      <w:r w:rsidRPr="00091019">
        <w:rPr>
          <w:b/>
          <w:i/>
        </w:rPr>
        <w:t>Recommendation 1</w:t>
      </w:r>
      <w:r w:rsidR="008D3951">
        <w:rPr>
          <w:b/>
          <w:i/>
        </w:rPr>
        <w:t>1</w:t>
      </w:r>
      <w:r w:rsidRPr="00091019">
        <w:rPr>
          <w:b/>
          <w:i/>
        </w:rPr>
        <w:t>: That the Council ensures in cases where explicit reference to a topic or area of policy is forbidden by legislation, or that topic or area of policy is covered in a separate document, that this is explained in the document introduction.</w:t>
      </w:r>
    </w:p>
    <w:p w14:paraId="3F2B1E7A" w14:textId="77777777" w:rsidR="00091019" w:rsidRDefault="00091019" w:rsidP="00B40248">
      <w:pPr>
        <w:jc w:val="both"/>
        <w:rPr>
          <w:b/>
        </w:rPr>
      </w:pPr>
    </w:p>
    <w:p w14:paraId="743D10D9" w14:textId="54FCBD4D" w:rsidR="00091019" w:rsidRDefault="00091019" w:rsidP="00B40248">
      <w:pPr>
        <w:pStyle w:val="ListParagraph"/>
        <w:numPr>
          <w:ilvl w:val="0"/>
          <w:numId w:val="6"/>
        </w:numPr>
        <w:jc w:val="both"/>
      </w:pPr>
      <w:r>
        <w:t xml:space="preserve">The Committee noted that figure S3 </w:t>
      </w:r>
      <w:r w:rsidR="0091202A">
        <w:t>of the document</w:t>
      </w:r>
      <w:r w:rsidR="008D3951">
        <w:t xml:space="preserve"> </w:t>
      </w:r>
      <w:r>
        <w:t>show</w:t>
      </w:r>
      <w:r w:rsidR="008D3951">
        <w:t>ed</w:t>
      </w:r>
      <w:r w:rsidR="0091202A">
        <w:t xml:space="preserve"> how the policy option</w:t>
      </w:r>
      <w:r>
        <w:t xml:space="preserve"> sets </w:t>
      </w:r>
      <w:r w:rsidR="008D3951">
        <w:t xml:space="preserve">sought </w:t>
      </w:r>
      <w:r>
        <w:t>to address the issue of climate change and that the narrative text describe</w:t>
      </w:r>
      <w:r w:rsidR="008D3951">
        <w:t>d</w:t>
      </w:r>
      <w:r>
        <w:t xml:space="preserve"> how the Council </w:t>
      </w:r>
      <w:r w:rsidR="008D3951">
        <w:t xml:space="preserve">sought </w:t>
      </w:r>
      <w:r>
        <w:t xml:space="preserve">to do that.  The Committee suggested that consideration should be given to citing international agreements such as the Paris Agreement and that the language of such agreements, such as ‘loss and </w:t>
      </w:r>
      <w:r w:rsidR="008D3951">
        <w:t>damage</w:t>
      </w:r>
      <w:r>
        <w:t>’ should be reflected in the narrative section.</w:t>
      </w:r>
    </w:p>
    <w:p w14:paraId="65BC4F90" w14:textId="77777777" w:rsidR="00091019" w:rsidRPr="00D92B33" w:rsidRDefault="00091019" w:rsidP="00B40248">
      <w:pPr>
        <w:jc w:val="both"/>
      </w:pPr>
    </w:p>
    <w:p w14:paraId="04453589" w14:textId="77777777" w:rsidR="00091019" w:rsidRPr="00091019" w:rsidRDefault="00091019" w:rsidP="00B40248">
      <w:pPr>
        <w:ind w:left="360"/>
        <w:jc w:val="both"/>
        <w:rPr>
          <w:b/>
          <w:i/>
        </w:rPr>
      </w:pPr>
      <w:r w:rsidRPr="00091019">
        <w:rPr>
          <w:b/>
          <w:i/>
        </w:rPr>
        <w:t xml:space="preserve">Recommendation 12: That the Council makes explicit reference to the Paris Agreement within the document and that the language of international frameworks, such as ‘loss and damage’, be reflected in the narrative section. </w:t>
      </w:r>
    </w:p>
    <w:p w14:paraId="6E2383A9" w14:textId="77777777" w:rsidR="00B22270" w:rsidRDefault="00B22270" w:rsidP="005132EF">
      <w:pPr>
        <w:spacing w:after="0"/>
        <w:ind w:left="426"/>
        <w:rPr>
          <w:rFonts w:ascii="Arial-BoldMT" w:hAnsi="Arial-BoldMT" w:cs="Arial-BoldMT"/>
          <w:bCs/>
          <w:color w:val="auto"/>
        </w:rPr>
      </w:pPr>
    </w:p>
    <w:p w14:paraId="637EE1C1" w14:textId="77777777" w:rsidR="000B4588" w:rsidRDefault="000B4588" w:rsidP="00E31009">
      <w:pPr>
        <w:spacing w:after="0"/>
        <w:ind w:left="426"/>
        <w:rPr>
          <w:rFonts w:ascii="Arial-BoldMT" w:hAnsi="Arial-BoldMT" w:cs="Arial-BoldMT"/>
          <w:bCs/>
          <w:color w:val="auto"/>
        </w:rPr>
      </w:pPr>
    </w:p>
    <w:p w14:paraId="15A79098" w14:textId="77777777" w:rsidR="00C9393C" w:rsidRPr="00020B4E" w:rsidRDefault="00C9393C" w:rsidP="00F12194">
      <w:pPr>
        <w:pStyle w:val="ListParagraph"/>
        <w:numPr>
          <w:ilvl w:val="0"/>
          <w:numId w:val="0"/>
        </w:numPr>
        <w:tabs>
          <w:tab w:val="clear" w:pos="426"/>
          <w:tab w:val="left" w:pos="284"/>
        </w:tabs>
        <w:spacing w:after="0"/>
        <w:rPr>
          <w:rFonts w:eastAsia="Calibri"/>
          <w:b/>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A46E98">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77777777" w:rsidR="00E87F7A" w:rsidRPr="008E4D66" w:rsidRDefault="00091019" w:rsidP="00A46E98">
            <w:pPr>
              <w:rPr>
                <w:color w:val="auto"/>
              </w:rPr>
            </w:pPr>
            <w:r>
              <w:rPr>
                <w:color w:val="auto"/>
              </w:rPr>
              <w:t>Richard Doney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A46E98">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A46E98">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A46E98">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A46E98">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A46E98">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77777777" w:rsidR="00E87F7A" w:rsidRPr="00091019" w:rsidRDefault="00091019" w:rsidP="00C9393C">
            <w:pPr>
              <w:rPr>
                <w:color w:val="auto"/>
              </w:rPr>
            </w:pPr>
            <w:r w:rsidRPr="00091019">
              <w:rPr>
                <w:rFonts w:cs="Arial"/>
                <w:bCs/>
              </w:rPr>
              <w:t>07485 311341</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A46E98">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77777777" w:rsidR="00E87F7A" w:rsidRPr="008E4D66" w:rsidRDefault="00210C67" w:rsidP="00091019">
            <w:pPr>
              <w:rPr>
                <w:rStyle w:val="Hyperlink"/>
                <w:color w:val="auto"/>
              </w:rPr>
            </w:pPr>
            <w:hyperlink r:id="rId8" w:history="1">
              <w:r w:rsidR="00091019" w:rsidRPr="00F870F8">
                <w:rPr>
                  <w:rStyle w:val="Hyperlink"/>
                </w:rPr>
                <w:t>rdoney@oxford.gov.uk</w:t>
              </w:r>
            </w:hyperlink>
            <w:r w:rsidR="00C9393C">
              <w:rPr>
                <w:rStyle w:val="Hyperlink"/>
                <w:color w:val="auto"/>
              </w:rPr>
              <w:t xml:space="preserve"> </w:t>
            </w:r>
          </w:p>
        </w:tc>
      </w:tr>
    </w:tbl>
    <w:p w14:paraId="1A62CC54" w14:textId="77777777" w:rsidR="00433B96" w:rsidRPr="008E4D66" w:rsidRDefault="00433B96" w:rsidP="004A6D2F">
      <w:pPr>
        <w:rPr>
          <w:color w:val="auto"/>
        </w:rPr>
      </w:pPr>
    </w:p>
    <w:p w14:paraId="5B4582D6" w14:textId="77777777" w:rsidR="003A0192" w:rsidRPr="009E51FC" w:rsidRDefault="003A0192" w:rsidP="0093067A"/>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798365C6"/>
    <w:multiLevelType w:val="multilevel"/>
    <w:tmpl w:val="E67CE66C"/>
    <w:numStyleLink w:val="StyleNumberedLeft0cmHanging075cm"/>
  </w:abstractNum>
  <w:num w:numId="1">
    <w:abstractNumId w:val="0"/>
  </w:num>
  <w:num w:numId="2">
    <w:abstractNumId w:val="13"/>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1"/>
  </w:num>
  <w:num w:numId="6">
    <w:abstractNumId w:val="7"/>
  </w:num>
  <w:num w:numId="7">
    <w:abstractNumId w:val="12"/>
  </w:num>
  <w:num w:numId="8">
    <w:abstractNumId w:val="10"/>
  </w:num>
  <w:num w:numId="9">
    <w:abstractNumId w:val="5"/>
  </w:num>
  <w:num w:numId="10">
    <w:abstractNumId w:val="6"/>
  </w:num>
  <w:num w:numId="11">
    <w:abstractNumId w:val="8"/>
  </w:num>
  <w:num w:numId="12">
    <w:abstractNumId w:val="2"/>
  </w:num>
  <w:num w:numId="13">
    <w:abstractNumId w:val="9"/>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6CD8"/>
    <w:rsid w:val="000A025B"/>
    <w:rsid w:val="000A0374"/>
    <w:rsid w:val="000A185B"/>
    <w:rsid w:val="000A2D16"/>
    <w:rsid w:val="000B4588"/>
    <w:rsid w:val="000B79AB"/>
    <w:rsid w:val="000C089F"/>
    <w:rsid w:val="000C237A"/>
    <w:rsid w:val="000C2C2B"/>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FA7"/>
    <w:rsid w:val="00124100"/>
    <w:rsid w:val="001356F1"/>
    <w:rsid w:val="00136994"/>
    <w:rsid w:val="0014128E"/>
    <w:rsid w:val="00143365"/>
    <w:rsid w:val="0015050F"/>
    <w:rsid w:val="001509E5"/>
    <w:rsid w:val="001517E0"/>
    <w:rsid w:val="00151888"/>
    <w:rsid w:val="00151D7B"/>
    <w:rsid w:val="00154B22"/>
    <w:rsid w:val="00170A2D"/>
    <w:rsid w:val="00170EEC"/>
    <w:rsid w:val="0017551D"/>
    <w:rsid w:val="001771A2"/>
    <w:rsid w:val="001808BC"/>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0C67"/>
    <w:rsid w:val="00214C0B"/>
    <w:rsid w:val="0021759A"/>
    <w:rsid w:val="0022150D"/>
    <w:rsid w:val="00224030"/>
    <w:rsid w:val="00224946"/>
    <w:rsid w:val="002329CF"/>
    <w:rsid w:val="00232F5B"/>
    <w:rsid w:val="00237510"/>
    <w:rsid w:val="00237A21"/>
    <w:rsid w:val="00244F93"/>
    <w:rsid w:val="002459FB"/>
    <w:rsid w:val="002467E8"/>
    <w:rsid w:val="00247C29"/>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C412C"/>
    <w:rsid w:val="002C64F7"/>
    <w:rsid w:val="002C73C0"/>
    <w:rsid w:val="002C751F"/>
    <w:rsid w:val="002D5EB9"/>
    <w:rsid w:val="002E1838"/>
    <w:rsid w:val="002F41F2"/>
    <w:rsid w:val="00301BF3"/>
    <w:rsid w:val="0030208D"/>
    <w:rsid w:val="003055BF"/>
    <w:rsid w:val="0031347B"/>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7250"/>
    <w:rsid w:val="0040736F"/>
    <w:rsid w:val="00410E3C"/>
    <w:rsid w:val="00411A8F"/>
    <w:rsid w:val="00412C1F"/>
    <w:rsid w:val="00414EC1"/>
    <w:rsid w:val="00420A68"/>
    <w:rsid w:val="00421CB2"/>
    <w:rsid w:val="00424B00"/>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6599"/>
    <w:rsid w:val="004F20EF"/>
    <w:rsid w:val="0050321C"/>
    <w:rsid w:val="005109D6"/>
    <w:rsid w:val="005132EF"/>
    <w:rsid w:val="00523A75"/>
    <w:rsid w:val="0053043E"/>
    <w:rsid w:val="005309CF"/>
    <w:rsid w:val="00534012"/>
    <w:rsid w:val="00537F6C"/>
    <w:rsid w:val="005426C7"/>
    <w:rsid w:val="005446C4"/>
    <w:rsid w:val="0054712D"/>
    <w:rsid w:val="00547EF6"/>
    <w:rsid w:val="00556176"/>
    <w:rsid w:val="005570B5"/>
    <w:rsid w:val="00560EF6"/>
    <w:rsid w:val="00563BF1"/>
    <w:rsid w:val="00567E18"/>
    <w:rsid w:val="00571B03"/>
    <w:rsid w:val="00572A65"/>
    <w:rsid w:val="00575F5F"/>
    <w:rsid w:val="005761F5"/>
    <w:rsid w:val="00581805"/>
    <w:rsid w:val="005827F8"/>
    <w:rsid w:val="00585F76"/>
    <w:rsid w:val="005934E8"/>
    <w:rsid w:val="00593B72"/>
    <w:rsid w:val="005943D8"/>
    <w:rsid w:val="005A34E4"/>
    <w:rsid w:val="005A586F"/>
    <w:rsid w:val="005A6D4A"/>
    <w:rsid w:val="005B17F2"/>
    <w:rsid w:val="005B677C"/>
    <w:rsid w:val="005B7FB0"/>
    <w:rsid w:val="005C2DD8"/>
    <w:rsid w:val="005C35A5"/>
    <w:rsid w:val="005C577C"/>
    <w:rsid w:val="005D0621"/>
    <w:rsid w:val="005D1E27"/>
    <w:rsid w:val="005D2A3E"/>
    <w:rsid w:val="005D5214"/>
    <w:rsid w:val="005E022E"/>
    <w:rsid w:val="005E5215"/>
    <w:rsid w:val="005F367A"/>
    <w:rsid w:val="005F7F7E"/>
    <w:rsid w:val="00614693"/>
    <w:rsid w:val="00614DA1"/>
    <w:rsid w:val="0062278B"/>
    <w:rsid w:val="00623C2F"/>
    <w:rsid w:val="00633578"/>
    <w:rsid w:val="00637068"/>
    <w:rsid w:val="006465F2"/>
    <w:rsid w:val="00650811"/>
    <w:rsid w:val="00661103"/>
    <w:rsid w:val="00661D3E"/>
    <w:rsid w:val="00664FDE"/>
    <w:rsid w:val="00665CCE"/>
    <w:rsid w:val="00670611"/>
    <w:rsid w:val="006811DE"/>
    <w:rsid w:val="006902C0"/>
    <w:rsid w:val="00692627"/>
    <w:rsid w:val="00694F86"/>
    <w:rsid w:val="00695DAD"/>
    <w:rsid w:val="006969E7"/>
    <w:rsid w:val="00697397"/>
    <w:rsid w:val="006A1CA9"/>
    <w:rsid w:val="006A3643"/>
    <w:rsid w:val="006B0A53"/>
    <w:rsid w:val="006B3737"/>
    <w:rsid w:val="006C2A29"/>
    <w:rsid w:val="006C64CF"/>
    <w:rsid w:val="006D0D63"/>
    <w:rsid w:val="006D17B1"/>
    <w:rsid w:val="006D4752"/>
    <w:rsid w:val="006D708A"/>
    <w:rsid w:val="006E14C1"/>
    <w:rsid w:val="006F0292"/>
    <w:rsid w:val="006F27FA"/>
    <w:rsid w:val="006F416B"/>
    <w:rsid w:val="006F519B"/>
    <w:rsid w:val="007044B4"/>
    <w:rsid w:val="00713675"/>
    <w:rsid w:val="00715823"/>
    <w:rsid w:val="007162DA"/>
    <w:rsid w:val="00725989"/>
    <w:rsid w:val="00727B92"/>
    <w:rsid w:val="007379B6"/>
    <w:rsid w:val="00737B93"/>
    <w:rsid w:val="007449F4"/>
    <w:rsid w:val="00745BF0"/>
    <w:rsid w:val="007513C8"/>
    <w:rsid w:val="007615FE"/>
    <w:rsid w:val="0076655C"/>
    <w:rsid w:val="00767F25"/>
    <w:rsid w:val="00770A31"/>
    <w:rsid w:val="007720EB"/>
    <w:rsid w:val="007742DC"/>
    <w:rsid w:val="007812DE"/>
    <w:rsid w:val="0078156F"/>
    <w:rsid w:val="00783447"/>
    <w:rsid w:val="00784051"/>
    <w:rsid w:val="00790788"/>
    <w:rsid w:val="00791437"/>
    <w:rsid w:val="0079385F"/>
    <w:rsid w:val="00796E0D"/>
    <w:rsid w:val="007A07DD"/>
    <w:rsid w:val="007A121D"/>
    <w:rsid w:val="007A242E"/>
    <w:rsid w:val="007A3D4C"/>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55E5"/>
    <w:rsid w:val="00855817"/>
    <w:rsid w:val="0085587D"/>
    <w:rsid w:val="00855C66"/>
    <w:rsid w:val="00860C57"/>
    <w:rsid w:val="00871EE4"/>
    <w:rsid w:val="008738B8"/>
    <w:rsid w:val="008774A4"/>
    <w:rsid w:val="00886659"/>
    <w:rsid w:val="00887602"/>
    <w:rsid w:val="0089066F"/>
    <w:rsid w:val="008972DA"/>
    <w:rsid w:val="0089773B"/>
    <w:rsid w:val="008A5117"/>
    <w:rsid w:val="008A71CF"/>
    <w:rsid w:val="008A7582"/>
    <w:rsid w:val="008B293F"/>
    <w:rsid w:val="008B49EB"/>
    <w:rsid w:val="008B6E24"/>
    <w:rsid w:val="008B7371"/>
    <w:rsid w:val="008B7E45"/>
    <w:rsid w:val="008C1954"/>
    <w:rsid w:val="008C1CCF"/>
    <w:rsid w:val="008C4AB2"/>
    <w:rsid w:val="008D3951"/>
    <w:rsid w:val="008D3DDB"/>
    <w:rsid w:val="008D5BBE"/>
    <w:rsid w:val="008D7B7C"/>
    <w:rsid w:val="008E4D66"/>
    <w:rsid w:val="008E60F3"/>
    <w:rsid w:val="008E7F34"/>
    <w:rsid w:val="008F17D6"/>
    <w:rsid w:val="008F3A4D"/>
    <w:rsid w:val="008F573F"/>
    <w:rsid w:val="008F5B20"/>
    <w:rsid w:val="009034EC"/>
    <w:rsid w:val="00903762"/>
    <w:rsid w:val="00910E73"/>
    <w:rsid w:val="0091202A"/>
    <w:rsid w:val="0091214A"/>
    <w:rsid w:val="00914A58"/>
    <w:rsid w:val="00921E62"/>
    <w:rsid w:val="0093067A"/>
    <w:rsid w:val="00941C60"/>
    <w:rsid w:val="00945466"/>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6B15"/>
    <w:rsid w:val="009A746B"/>
    <w:rsid w:val="009B21FC"/>
    <w:rsid w:val="009B6912"/>
    <w:rsid w:val="009C3FAF"/>
    <w:rsid w:val="009D09AD"/>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5B0B"/>
    <w:rsid w:val="00A37FB5"/>
    <w:rsid w:val="00A4098B"/>
    <w:rsid w:val="00A410C9"/>
    <w:rsid w:val="00A4285A"/>
    <w:rsid w:val="00A46E98"/>
    <w:rsid w:val="00A6352B"/>
    <w:rsid w:val="00A6366B"/>
    <w:rsid w:val="00A64CB8"/>
    <w:rsid w:val="00A66F87"/>
    <w:rsid w:val="00A701B5"/>
    <w:rsid w:val="00A714BB"/>
    <w:rsid w:val="00A76186"/>
    <w:rsid w:val="00A86ADB"/>
    <w:rsid w:val="00A90B49"/>
    <w:rsid w:val="00A92D8F"/>
    <w:rsid w:val="00AA0EBB"/>
    <w:rsid w:val="00AB2988"/>
    <w:rsid w:val="00AB4257"/>
    <w:rsid w:val="00AB7999"/>
    <w:rsid w:val="00AC71D8"/>
    <w:rsid w:val="00AD3292"/>
    <w:rsid w:val="00AE194D"/>
    <w:rsid w:val="00AE5257"/>
    <w:rsid w:val="00AE792C"/>
    <w:rsid w:val="00AE7AF0"/>
    <w:rsid w:val="00B1378F"/>
    <w:rsid w:val="00B14C5B"/>
    <w:rsid w:val="00B14FAE"/>
    <w:rsid w:val="00B17E96"/>
    <w:rsid w:val="00B22270"/>
    <w:rsid w:val="00B24F15"/>
    <w:rsid w:val="00B27084"/>
    <w:rsid w:val="00B303B9"/>
    <w:rsid w:val="00B36F81"/>
    <w:rsid w:val="00B40248"/>
    <w:rsid w:val="00B41229"/>
    <w:rsid w:val="00B44031"/>
    <w:rsid w:val="00B500CA"/>
    <w:rsid w:val="00B6047D"/>
    <w:rsid w:val="00B645E9"/>
    <w:rsid w:val="00B6532D"/>
    <w:rsid w:val="00B70EFD"/>
    <w:rsid w:val="00B7271A"/>
    <w:rsid w:val="00B8019C"/>
    <w:rsid w:val="00B86314"/>
    <w:rsid w:val="00B90F07"/>
    <w:rsid w:val="00B94B77"/>
    <w:rsid w:val="00B970FE"/>
    <w:rsid w:val="00BA1C2E"/>
    <w:rsid w:val="00BA47A8"/>
    <w:rsid w:val="00BB34D9"/>
    <w:rsid w:val="00BB6EBF"/>
    <w:rsid w:val="00BC0B5D"/>
    <w:rsid w:val="00BC0F7A"/>
    <w:rsid w:val="00BC200B"/>
    <w:rsid w:val="00BC4756"/>
    <w:rsid w:val="00BC69A4"/>
    <w:rsid w:val="00BD0B09"/>
    <w:rsid w:val="00BD70F4"/>
    <w:rsid w:val="00BE0680"/>
    <w:rsid w:val="00BE199F"/>
    <w:rsid w:val="00BE305F"/>
    <w:rsid w:val="00BE6939"/>
    <w:rsid w:val="00BE7A48"/>
    <w:rsid w:val="00BE7BA3"/>
    <w:rsid w:val="00BF5682"/>
    <w:rsid w:val="00BF62D5"/>
    <w:rsid w:val="00BF7B09"/>
    <w:rsid w:val="00C0181A"/>
    <w:rsid w:val="00C02677"/>
    <w:rsid w:val="00C02A6D"/>
    <w:rsid w:val="00C078E5"/>
    <w:rsid w:val="00C11A76"/>
    <w:rsid w:val="00C121BB"/>
    <w:rsid w:val="00C15410"/>
    <w:rsid w:val="00C20A95"/>
    <w:rsid w:val="00C23EA6"/>
    <w:rsid w:val="00C24717"/>
    <w:rsid w:val="00C24AB1"/>
    <w:rsid w:val="00C2692F"/>
    <w:rsid w:val="00C3207C"/>
    <w:rsid w:val="00C400E1"/>
    <w:rsid w:val="00C4041C"/>
    <w:rsid w:val="00C41187"/>
    <w:rsid w:val="00C63C31"/>
    <w:rsid w:val="00C700EE"/>
    <w:rsid w:val="00C744C9"/>
    <w:rsid w:val="00C757A0"/>
    <w:rsid w:val="00C760DE"/>
    <w:rsid w:val="00C8218C"/>
    <w:rsid w:val="00C82630"/>
    <w:rsid w:val="00C84163"/>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6B99"/>
    <w:rsid w:val="00CC1730"/>
    <w:rsid w:val="00CC422A"/>
    <w:rsid w:val="00CC6B7D"/>
    <w:rsid w:val="00CD281A"/>
    <w:rsid w:val="00CD688D"/>
    <w:rsid w:val="00CD74A5"/>
    <w:rsid w:val="00CD7D8E"/>
    <w:rsid w:val="00CE4C87"/>
    <w:rsid w:val="00CE544A"/>
    <w:rsid w:val="00CE72D5"/>
    <w:rsid w:val="00CF1793"/>
    <w:rsid w:val="00CF51AB"/>
    <w:rsid w:val="00D0451E"/>
    <w:rsid w:val="00D06005"/>
    <w:rsid w:val="00D06699"/>
    <w:rsid w:val="00D1100D"/>
    <w:rsid w:val="00D11E1C"/>
    <w:rsid w:val="00D158F3"/>
    <w:rsid w:val="00D160B0"/>
    <w:rsid w:val="00D17F94"/>
    <w:rsid w:val="00D223FC"/>
    <w:rsid w:val="00D24139"/>
    <w:rsid w:val="00D26D1E"/>
    <w:rsid w:val="00D26E6B"/>
    <w:rsid w:val="00D32360"/>
    <w:rsid w:val="00D341FF"/>
    <w:rsid w:val="00D45DA7"/>
    <w:rsid w:val="00D474CF"/>
    <w:rsid w:val="00D53AFE"/>
    <w:rsid w:val="00D5547E"/>
    <w:rsid w:val="00D56E6A"/>
    <w:rsid w:val="00D66704"/>
    <w:rsid w:val="00D67D83"/>
    <w:rsid w:val="00D806E3"/>
    <w:rsid w:val="00D824F9"/>
    <w:rsid w:val="00D869A1"/>
    <w:rsid w:val="00D91685"/>
    <w:rsid w:val="00DA185C"/>
    <w:rsid w:val="00DA31D9"/>
    <w:rsid w:val="00DA413F"/>
    <w:rsid w:val="00DA4584"/>
    <w:rsid w:val="00DA614B"/>
    <w:rsid w:val="00DB070F"/>
    <w:rsid w:val="00DB0CC8"/>
    <w:rsid w:val="00DB2AF3"/>
    <w:rsid w:val="00DB4DCA"/>
    <w:rsid w:val="00DB6F76"/>
    <w:rsid w:val="00DC3060"/>
    <w:rsid w:val="00DE0FB2"/>
    <w:rsid w:val="00DE7371"/>
    <w:rsid w:val="00DF093E"/>
    <w:rsid w:val="00DF0E9B"/>
    <w:rsid w:val="00DF6CA7"/>
    <w:rsid w:val="00E01F42"/>
    <w:rsid w:val="00E04E26"/>
    <w:rsid w:val="00E06C7D"/>
    <w:rsid w:val="00E07633"/>
    <w:rsid w:val="00E10DBE"/>
    <w:rsid w:val="00E206D6"/>
    <w:rsid w:val="00E218B2"/>
    <w:rsid w:val="00E2457C"/>
    <w:rsid w:val="00E31009"/>
    <w:rsid w:val="00E32B4D"/>
    <w:rsid w:val="00E3366E"/>
    <w:rsid w:val="00E34341"/>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552F"/>
    <w:rsid w:val="00E87F7A"/>
    <w:rsid w:val="00E96BD7"/>
    <w:rsid w:val="00E97012"/>
    <w:rsid w:val="00EA0DB1"/>
    <w:rsid w:val="00EA0EE9"/>
    <w:rsid w:val="00EA1943"/>
    <w:rsid w:val="00EA1AD7"/>
    <w:rsid w:val="00EA2C44"/>
    <w:rsid w:val="00EA355C"/>
    <w:rsid w:val="00EA5AE6"/>
    <w:rsid w:val="00EB0602"/>
    <w:rsid w:val="00EB128C"/>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DCA"/>
    <w:rsid w:val="00F706FB"/>
    <w:rsid w:val="00F724E6"/>
    <w:rsid w:val="00F725BF"/>
    <w:rsid w:val="00F74F53"/>
    <w:rsid w:val="00F7606D"/>
    <w:rsid w:val="00F7672D"/>
    <w:rsid w:val="00F81670"/>
    <w:rsid w:val="00F82024"/>
    <w:rsid w:val="00F847B4"/>
    <w:rsid w:val="00F93457"/>
    <w:rsid w:val="00F94A4F"/>
    <w:rsid w:val="00F95BC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00EC0-461B-4576-BECC-98FD4783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60BE7F88</Template>
  <TotalTime>14</TotalTime>
  <Pages>4</Pages>
  <Words>1226</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8082</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6</cp:revision>
  <cp:lastPrinted>2019-04-10T11:07:00Z</cp:lastPrinted>
  <dcterms:created xsi:type="dcterms:W3CDTF">2022-09-07T16:14:00Z</dcterms:created>
  <dcterms:modified xsi:type="dcterms:W3CDTF">2022-09-13T18:16:00Z</dcterms:modified>
</cp:coreProperties>
</file>